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9E5" w:rsidRDefault="005949E5" w:rsidP="005949E5">
      <w:pPr>
        <w:spacing w:after="0"/>
        <w:jc w:val="center"/>
        <w:rPr>
          <w:rFonts w:ascii="Arial Black" w:hAnsi="Arial Black"/>
          <w:sz w:val="24"/>
          <w:szCs w:val="24"/>
        </w:rPr>
      </w:pPr>
      <w:r>
        <w:rPr>
          <w:noProof/>
        </w:rPr>
        <w:drawing>
          <wp:inline distT="0" distB="0" distL="0" distR="0">
            <wp:extent cx="5759450" cy="658223"/>
            <wp:effectExtent l="0" t="0" r="0" b="0"/>
            <wp:docPr id="1" name="Picture 1" descr="http://www.omegaedukacije.eu/wp-content/uploads/2017/06/pou_omeg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megaedukacije.eu/wp-content/uploads/2017/06/pou_omeg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6582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49E5" w:rsidRDefault="005949E5" w:rsidP="005949E5">
      <w:pPr>
        <w:spacing w:after="0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Program rada</w:t>
      </w:r>
    </w:p>
    <w:p w:rsidR="005949E5" w:rsidRDefault="00F8407D" w:rsidP="00EB1FB9">
      <w:pPr>
        <w:spacing w:after="0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Zagreb, </w:t>
      </w:r>
      <w:r w:rsidR="00EB1FB9">
        <w:rPr>
          <w:rFonts w:asciiTheme="majorBidi" w:hAnsiTheme="majorBidi" w:cstheme="majorBidi"/>
          <w:sz w:val="24"/>
          <w:szCs w:val="24"/>
        </w:rPr>
        <w:t>20.02.2018.</w:t>
      </w:r>
    </w:p>
    <w:p w:rsidR="005949E5" w:rsidRDefault="005949E5" w:rsidP="005949E5">
      <w:pPr>
        <w:spacing w:after="0"/>
        <w:jc w:val="center"/>
        <w:rPr>
          <w:rFonts w:asciiTheme="majorBidi" w:hAnsiTheme="majorBidi" w:cstheme="majorBidi"/>
          <w:sz w:val="24"/>
          <w:szCs w:val="24"/>
        </w:rPr>
      </w:pPr>
    </w:p>
    <w:p w:rsidR="00623B8A" w:rsidRDefault="005949E5" w:rsidP="0077044A">
      <w:pPr>
        <w:jc w:val="center"/>
        <w:rPr>
          <w:rFonts w:asciiTheme="majorBidi" w:hAnsiTheme="majorBidi" w:cstheme="majorBidi"/>
          <w:b/>
          <w:bCs/>
          <w:color w:val="92D050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92D050"/>
          <w:sz w:val="24"/>
          <w:szCs w:val="24"/>
        </w:rPr>
        <w:t xml:space="preserve">Tema </w:t>
      </w:r>
    </w:p>
    <w:p w:rsidR="005A7B21" w:rsidRDefault="00EB1FB9" w:rsidP="0077044A">
      <w:pPr>
        <w:jc w:val="center"/>
        <w:rPr>
          <w:rFonts w:asciiTheme="majorBidi" w:hAnsiTheme="majorBidi" w:cstheme="majorBidi"/>
          <w:b/>
          <w:bCs/>
          <w:color w:val="92D050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92D050"/>
          <w:sz w:val="24"/>
          <w:szCs w:val="24"/>
        </w:rPr>
        <w:t>Dokumentacija o nabavi – priprema i izrada</w:t>
      </w:r>
    </w:p>
    <w:p w:rsidR="00EB1FB9" w:rsidRPr="005A7B21" w:rsidRDefault="00EB1FB9" w:rsidP="0077044A">
      <w:pPr>
        <w:jc w:val="center"/>
        <w:rPr>
          <w:color w:val="92D050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92D050"/>
          <w:sz w:val="24"/>
          <w:szCs w:val="24"/>
        </w:rPr>
        <w:t>Europska jedinstvena dokumentacija o nabavi (ESPD) – primjena u praksi</w:t>
      </w:r>
    </w:p>
    <w:p w:rsidR="005949E5" w:rsidRDefault="005949E5" w:rsidP="005949E5">
      <w:pPr>
        <w:spacing w:after="0"/>
        <w:rPr>
          <w:rFonts w:asciiTheme="majorBidi" w:hAnsiTheme="majorBidi" w:cstheme="majorBidi"/>
          <w:b/>
          <w:bCs/>
          <w:color w:val="92D050"/>
          <w:sz w:val="24"/>
          <w:szCs w:val="24"/>
        </w:rPr>
      </w:pPr>
    </w:p>
    <w:p w:rsidR="005949E5" w:rsidRPr="005949E5" w:rsidRDefault="005949E5" w:rsidP="00EB1FB9">
      <w:pPr>
        <w:spacing w:after="0"/>
        <w:rPr>
          <w:rFonts w:cstheme="majorBidi"/>
          <w:b/>
          <w:bCs/>
          <w:sz w:val="24"/>
          <w:szCs w:val="24"/>
        </w:rPr>
      </w:pPr>
      <w:r w:rsidRPr="005949E5">
        <w:rPr>
          <w:rFonts w:cstheme="majorBidi"/>
          <w:b/>
          <w:bCs/>
          <w:sz w:val="24"/>
          <w:szCs w:val="24"/>
        </w:rPr>
        <w:t xml:space="preserve">09:00 – 10:30  </w:t>
      </w:r>
      <w:r w:rsidR="00EB1FB9">
        <w:rPr>
          <w:rFonts w:cstheme="majorBidi"/>
          <w:b/>
          <w:bCs/>
          <w:sz w:val="24"/>
          <w:szCs w:val="24"/>
        </w:rPr>
        <w:t>Dokumentacija o nabavi – priprema i izrada</w:t>
      </w:r>
    </w:p>
    <w:p w:rsidR="0077044A" w:rsidRDefault="00EB1FB9" w:rsidP="0077044A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Prethodna analiza tržišta i provedba prethodnog savjetovanja </w:t>
      </w:r>
    </w:p>
    <w:p w:rsidR="0077044A" w:rsidRPr="00623B8A" w:rsidRDefault="00EB1FB9" w:rsidP="00623B8A">
      <w:pPr>
        <w:pStyle w:val="ListParagraph"/>
        <w:numPr>
          <w:ilvl w:val="0"/>
          <w:numId w:val="1"/>
        </w:numPr>
        <w:spacing w:after="0"/>
        <w:rPr>
          <w:rFonts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Izrada dokumentacije o nabavi</w:t>
      </w:r>
    </w:p>
    <w:p w:rsidR="00623B8A" w:rsidRPr="00623B8A" w:rsidRDefault="00EB1FB9" w:rsidP="00623B8A">
      <w:pPr>
        <w:pStyle w:val="ListParagraph"/>
        <w:numPr>
          <w:ilvl w:val="0"/>
          <w:numId w:val="1"/>
        </w:numPr>
        <w:spacing w:after="0"/>
        <w:rPr>
          <w:rFonts w:cstheme="majorBidi"/>
          <w:sz w:val="24"/>
          <w:szCs w:val="24"/>
        </w:rPr>
      </w:pPr>
      <w:r>
        <w:rPr>
          <w:rFonts w:cstheme="majorBidi"/>
          <w:sz w:val="24"/>
          <w:szCs w:val="24"/>
        </w:rPr>
        <w:t>Sadržaj dokumentacije o nabavi( opći podaci , podaci o predmetu nabave)</w:t>
      </w:r>
    </w:p>
    <w:p w:rsidR="005949E5" w:rsidRPr="007977AE" w:rsidRDefault="005949E5" w:rsidP="005949E5">
      <w:pPr>
        <w:spacing w:after="0"/>
        <w:rPr>
          <w:rFonts w:cstheme="majorBidi"/>
          <w:b/>
          <w:bCs/>
          <w:color w:val="A6A6A6" w:themeColor="background1" w:themeShade="A6"/>
          <w:sz w:val="24"/>
          <w:szCs w:val="24"/>
        </w:rPr>
      </w:pPr>
      <w:r w:rsidRPr="007977AE">
        <w:rPr>
          <w:rFonts w:cstheme="majorBidi"/>
          <w:b/>
          <w:bCs/>
          <w:color w:val="A6A6A6" w:themeColor="background1" w:themeShade="A6"/>
          <w:sz w:val="24"/>
          <w:szCs w:val="24"/>
        </w:rPr>
        <w:t xml:space="preserve">10:30 – 10:45  Pauza za kavu </w:t>
      </w:r>
    </w:p>
    <w:p w:rsidR="005949E5" w:rsidRPr="005949E5" w:rsidRDefault="005949E5" w:rsidP="005949E5">
      <w:pPr>
        <w:spacing w:after="0"/>
        <w:rPr>
          <w:rFonts w:cstheme="majorBidi"/>
          <w:b/>
          <w:bCs/>
          <w:sz w:val="24"/>
          <w:szCs w:val="24"/>
        </w:rPr>
      </w:pPr>
    </w:p>
    <w:p w:rsidR="005A7B21" w:rsidRPr="00C65D9B" w:rsidRDefault="005949E5" w:rsidP="00EB1FB9">
      <w:pPr>
        <w:spacing w:after="0"/>
        <w:rPr>
          <w:rFonts w:asciiTheme="majorBidi" w:hAnsiTheme="majorBidi" w:cstheme="majorBidi"/>
          <w:b/>
          <w:bCs/>
          <w:sz w:val="24"/>
          <w:szCs w:val="24"/>
        </w:rPr>
      </w:pPr>
      <w:r w:rsidRPr="005949E5">
        <w:rPr>
          <w:rFonts w:cstheme="majorBidi"/>
          <w:b/>
          <w:bCs/>
          <w:sz w:val="24"/>
          <w:szCs w:val="24"/>
        </w:rPr>
        <w:t xml:space="preserve">10:45 – 12:15 </w:t>
      </w:r>
      <w:r w:rsidR="00EB1FB9">
        <w:rPr>
          <w:rFonts w:cstheme="majorBidi"/>
          <w:b/>
          <w:bCs/>
          <w:sz w:val="24"/>
          <w:szCs w:val="24"/>
        </w:rPr>
        <w:t>Dokumentacija o nabavi – priprema i izrada</w:t>
      </w:r>
    </w:p>
    <w:p w:rsidR="0077044A" w:rsidRPr="0077044A" w:rsidRDefault="00EB1FB9" w:rsidP="0077044A">
      <w:pPr>
        <w:pStyle w:val="ListParagraph"/>
        <w:numPr>
          <w:ilvl w:val="0"/>
          <w:numId w:val="11"/>
        </w:numPr>
        <w:spacing w:after="0"/>
        <w:rPr>
          <w:rFonts w:cstheme="majorBidi"/>
          <w:sz w:val="24"/>
          <w:szCs w:val="24"/>
        </w:rPr>
      </w:pPr>
      <w:r>
        <w:rPr>
          <w:rFonts w:cstheme="majorBidi"/>
          <w:sz w:val="24"/>
          <w:szCs w:val="24"/>
        </w:rPr>
        <w:t>Sadržaj dokumentacije o nabavi</w:t>
      </w:r>
    </w:p>
    <w:p w:rsidR="0077044A" w:rsidRDefault="00EB1FB9" w:rsidP="0077044A">
      <w:pPr>
        <w:pStyle w:val="ListParagraph"/>
        <w:numPr>
          <w:ilvl w:val="0"/>
          <w:numId w:val="11"/>
        </w:numPr>
        <w:spacing w:after="0"/>
        <w:rPr>
          <w:rFonts w:cstheme="majorBidi"/>
          <w:sz w:val="24"/>
          <w:szCs w:val="24"/>
        </w:rPr>
      </w:pPr>
      <w:r>
        <w:rPr>
          <w:rFonts w:cstheme="majorBidi"/>
          <w:sz w:val="24"/>
          <w:szCs w:val="24"/>
        </w:rPr>
        <w:t>Osnove za isključenje i kriterij za odabir gospodarskog subjekta</w:t>
      </w:r>
    </w:p>
    <w:p w:rsidR="00EB1FB9" w:rsidRDefault="00EB1FB9" w:rsidP="0077044A">
      <w:pPr>
        <w:pStyle w:val="ListParagraph"/>
        <w:numPr>
          <w:ilvl w:val="0"/>
          <w:numId w:val="11"/>
        </w:numPr>
        <w:spacing w:after="0"/>
        <w:rPr>
          <w:rFonts w:cstheme="majorBidi"/>
          <w:sz w:val="24"/>
          <w:szCs w:val="24"/>
        </w:rPr>
      </w:pPr>
      <w:r>
        <w:rPr>
          <w:rFonts w:cstheme="majorBidi"/>
          <w:sz w:val="24"/>
          <w:szCs w:val="24"/>
        </w:rPr>
        <w:t>ESPD</w:t>
      </w:r>
    </w:p>
    <w:p w:rsidR="00EB1FB9" w:rsidRDefault="00EB1FB9" w:rsidP="0077044A">
      <w:pPr>
        <w:pStyle w:val="ListParagraph"/>
        <w:numPr>
          <w:ilvl w:val="0"/>
          <w:numId w:val="11"/>
        </w:numPr>
        <w:spacing w:after="0"/>
        <w:rPr>
          <w:rFonts w:cstheme="majorBidi"/>
          <w:sz w:val="24"/>
          <w:szCs w:val="24"/>
        </w:rPr>
      </w:pPr>
      <w:r>
        <w:rPr>
          <w:rFonts w:cstheme="majorBidi"/>
          <w:sz w:val="24"/>
          <w:szCs w:val="24"/>
        </w:rPr>
        <w:t>Podaci o zahtjevu za sudjelovanje ili ponudi</w:t>
      </w:r>
    </w:p>
    <w:p w:rsidR="00EB1FB9" w:rsidRPr="0077044A" w:rsidRDefault="00EB1FB9" w:rsidP="0077044A">
      <w:pPr>
        <w:pStyle w:val="ListParagraph"/>
        <w:numPr>
          <w:ilvl w:val="0"/>
          <w:numId w:val="11"/>
        </w:numPr>
        <w:spacing w:after="0"/>
        <w:rPr>
          <w:rFonts w:cstheme="majorBidi"/>
          <w:sz w:val="24"/>
          <w:szCs w:val="24"/>
        </w:rPr>
      </w:pPr>
      <w:r>
        <w:rPr>
          <w:rFonts w:cstheme="majorBidi"/>
          <w:sz w:val="24"/>
          <w:szCs w:val="24"/>
        </w:rPr>
        <w:t xml:space="preserve">Ostale odredbe </w:t>
      </w:r>
    </w:p>
    <w:p w:rsidR="005949E5" w:rsidRPr="007977AE" w:rsidRDefault="005949E5" w:rsidP="005949E5">
      <w:pPr>
        <w:spacing w:after="0"/>
        <w:rPr>
          <w:rFonts w:cstheme="majorBidi"/>
          <w:b/>
          <w:bCs/>
          <w:color w:val="A6A6A6" w:themeColor="background1" w:themeShade="A6"/>
          <w:sz w:val="24"/>
          <w:szCs w:val="24"/>
        </w:rPr>
      </w:pPr>
      <w:r w:rsidRPr="007977AE">
        <w:rPr>
          <w:rFonts w:cstheme="majorBidi"/>
          <w:b/>
          <w:bCs/>
          <w:color w:val="A6A6A6" w:themeColor="background1" w:themeShade="A6"/>
          <w:sz w:val="24"/>
          <w:szCs w:val="24"/>
        </w:rPr>
        <w:t>12:15 – 13:00  Pauza za ručak</w:t>
      </w:r>
    </w:p>
    <w:p w:rsidR="005949E5" w:rsidRPr="005949E5" w:rsidRDefault="005949E5" w:rsidP="005949E5">
      <w:pPr>
        <w:spacing w:after="0"/>
        <w:rPr>
          <w:rFonts w:cstheme="majorBidi"/>
          <w:b/>
          <w:bCs/>
          <w:sz w:val="24"/>
          <w:szCs w:val="24"/>
        </w:rPr>
      </w:pPr>
    </w:p>
    <w:p w:rsidR="005949E5" w:rsidRPr="005949E5" w:rsidRDefault="005949E5" w:rsidP="00EB1FB9">
      <w:pPr>
        <w:spacing w:after="0"/>
        <w:rPr>
          <w:rFonts w:cstheme="majorBidi"/>
          <w:b/>
          <w:bCs/>
          <w:sz w:val="24"/>
          <w:szCs w:val="24"/>
        </w:rPr>
      </w:pPr>
      <w:r w:rsidRPr="005949E5">
        <w:rPr>
          <w:rFonts w:cstheme="majorBidi"/>
          <w:b/>
          <w:bCs/>
          <w:sz w:val="24"/>
          <w:szCs w:val="24"/>
        </w:rPr>
        <w:t xml:space="preserve">13:00 – 14:30 </w:t>
      </w:r>
      <w:r w:rsidR="00EB1FB9">
        <w:rPr>
          <w:rFonts w:asciiTheme="majorBidi" w:hAnsiTheme="majorBidi" w:cstheme="majorBidi"/>
          <w:b/>
          <w:bCs/>
          <w:sz w:val="24"/>
          <w:szCs w:val="24"/>
        </w:rPr>
        <w:t xml:space="preserve">Europska jedinstvena dokumentacija – primjena u praksi </w:t>
      </w:r>
    </w:p>
    <w:p w:rsidR="0077044A" w:rsidRPr="0077044A" w:rsidRDefault="00EB1FB9" w:rsidP="0077044A">
      <w:pPr>
        <w:pStyle w:val="ListParagraph"/>
        <w:numPr>
          <w:ilvl w:val="0"/>
          <w:numId w:val="13"/>
        </w:numPr>
        <w:spacing w:after="0"/>
        <w:rPr>
          <w:rFonts w:cstheme="majorBidi"/>
          <w:sz w:val="24"/>
          <w:szCs w:val="24"/>
        </w:rPr>
      </w:pPr>
      <w:r>
        <w:rPr>
          <w:rFonts w:cstheme="majorBidi"/>
          <w:sz w:val="24"/>
          <w:szCs w:val="24"/>
        </w:rPr>
        <w:t>Sadržaj ESPD obrasca</w:t>
      </w:r>
    </w:p>
    <w:p w:rsidR="005949E5" w:rsidRDefault="00EB1FB9" w:rsidP="0077044A">
      <w:pPr>
        <w:pStyle w:val="ListParagraph"/>
        <w:numPr>
          <w:ilvl w:val="0"/>
          <w:numId w:val="13"/>
        </w:numPr>
        <w:spacing w:after="0"/>
        <w:rPr>
          <w:rFonts w:cstheme="majorBidi"/>
          <w:sz w:val="24"/>
          <w:szCs w:val="24"/>
        </w:rPr>
      </w:pPr>
      <w:r>
        <w:rPr>
          <w:rFonts w:cstheme="majorBidi"/>
          <w:sz w:val="24"/>
          <w:szCs w:val="24"/>
        </w:rPr>
        <w:t xml:space="preserve">Upute za popunjavanje </w:t>
      </w:r>
    </w:p>
    <w:p w:rsidR="005960CF" w:rsidRDefault="005960CF" w:rsidP="0077044A">
      <w:pPr>
        <w:pStyle w:val="ListParagraph"/>
        <w:numPr>
          <w:ilvl w:val="0"/>
          <w:numId w:val="13"/>
        </w:numPr>
        <w:spacing w:after="0"/>
        <w:rPr>
          <w:rFonts w:cstheme="majorBidi"/>
          <w:sz w:val="24"/>
          <w:szCs w:val="24"/>
        </w:rPr>
      </w:pPr>
      <w:r>
        <w:rPr>
          <w:rFonts w:cstheme="majorBidi"/>
          <w:sz w:val="24"/>
          <w:szCs w:val="24"/>
        </w:rPr>
        <w:t>Dostava ESPD obrasca</w:t>
      </w:r>
    </w:p>
    <w:p w:rsidR="005960CF" w:rsidRPr="005949E5" w:rsidRDefault="00EB1FB9" w:rsidP="0077044A">
      <w:pPr>
        <w:pStyle w:val="ListParagraph"/>
        <w:numPr>
          <w:ilvl w:val="0"/>
          <w:numId w:val="13"/>
        </w:numPr>
        <w:spacing w:after="0"/>
        <w:rPr>
          <w:rFonts w:cstheme="majorBidi"/>
          <w:sz w:val="24"/>
          <w:szCs w:val="24"/>
        </w:rPr>
      </w:pPr>
      <w:r>
        <w:rPr>
          <w:rFonts w:cstheme="majorBidi"/>
          <w:sz w:val="24"/>
          <w:szCs w:val="24"/>
        </w:rPr>
        <w:t>Elektronički ESPD( e- ESPD)</w:t>
      </w:r>
    </w:p>
    <w:p w:rsidR="005949E5" w:rsidRPr="005949E5" w:rsidRDefault="005949E5" w:rsidP="005949E5">
      <w:pPr>
        <w:spacing w:after="0"/>
        <w:rPr>
          <w:rFonts w:cstheme="majorBidi"/>
          <w:sz w:val="24"/>
          <w:szCs w:val="24"/>
        </w:rPr>
      </w:pPr>
    </w:p>
    <w:p w:rsidR="005949E5" w:rsidRPr="007977AE" w:rsidRDefault="005949E5" w:rsidP="005949E5">
      <w:pPr>
        <w:spacing w:after="0"/>
        <w:rPr>
          <w:rFonts w:cstheme="majorBidi"/>
          <w:b/>
          <w:bCs/>
          <w:color w:val="A6A6A6" w:themeColor="background1" w:themeShade="A6"/>
          <w:sz w:val="24"/>
          <w:szCs w:val="24"/>
        </w:rPr>
      </w:pPr>
      <w:r w:rsidRPr="007977AE">
        <w:rPr>
          <w:rFonts w:cstheme="majorBidi"/>
          <w:b/>
          <w:bCs/>
          <w:color w:val="A6A6A6" w:themeColor="background1" w:themeShade="A6"/>
          <w:sz w:val="24"/>
          <w:szCs w:val="24"/>
        </w:rPr>
        <w:t xml:space="preserve">14:30 – 14: 45 Pauza za kavu </w:t>
      </w:r>
    </w:p>
    <w:p w:rsidR="005949E5" w:rsidRPr="007977AE" w:rsidRDefault="005949E5" w:rsidP="005949E5">
      <w:pPr>
        <w:spacing w:after="0"/>
        <w:rPr>
          <w:rFonts w:cstheme="majorBidi"/>
          <w:b/>
          <w:bCs/>
          <w:color w:val="A6A6A6" w:themeColor="background1" w:themeShade="A6"/>
          <w:sz w:val="24"/>
          <w:szCs w:val="24"/>
        </w:rPr>
      </w:pPr>
    </w:p>
    <w:p w:rsidR="0077044A" w:rsidRDefault="005949E5" w:rsidP="00EB1FB9">
      <w:pPr>
        <w:rPr>
          <w:rFonts w:asciiTheme="majorBidi" w:hAnsiTheme="majorBidi" w:cstheme="majorBidi"/>
          <w:sz w:val="24"/>
          <w:szCs w:val="24"/>
        </w:rPr>
      </w:pPr>
      <w:r w:rsidRPr="005949E5">
        <w:rPr>
          <w:rFonts w:cstheme="majorBidi"/>
          <w:b/>
          <w:bCs/>
          <w:sz w:val="24"/>
          <w:szCs w:val="24"/>
        </w:rPr>
        <w:t xml:space="preserve">14:45 – 16:15  – </w:t>
      </w:r>
      <w:r w:rsidR="00EB1FB9">
        <w:rPr>
          <w:rFonts w:asciiTheme="majorBidi" w:hAnsiTheme="majorBidi" w:cstheme="majorBidi"/>
          <w:b/>
          <w:bCs/>
          <w:sz w:val="24"/>
          <w:szCs w:val="24"/>
        </w:rPr>
        <w:t>Europska jedinstvena dokumentacija – primjena u praksi</w:t>
      </w:r>
    </w:p>
    <w:p w:rsidR="005949E5" w:rsidRPr="00C65D9B" w:rsidRDefault="005949E5" w:rsidP="0077044A">
      <w:pPr>
        <w:spacing w:after="0"/>
        <w:rPr>
          <w:rFonts w:cstheme="majorBidi"/>
          <w:b/>
          <w:bCs/>
          <w:sz w:val="24"/>
          <w:szCs w:val="24"/>
        </w:rPr>
      </w:pPr>
    </w:p>
    <w:p w:rsidR="00DB01F6" w:rsidRDefault="00EB1FB9" w:rsidP="0077044A">
      <w:pPr>
        <w:pStyle w:val="ListParagraph"/>
        <w:numPr>
          <w:ilvl w:val="0"/>
          <w:numId w:val="14"/>
        </w:numPr>
      </w:pPr>
      <w:r>
        <w:t>Provjera ESPD-a i dostava dokaza</w:t>
      </w:r>
    </w:p>
    <w:p w:rsidR="005960CF" w:rsidRDefault="00EB1FB9" w:rsidP="0077044A">
      <w:pPr>
        <w:pStyle w:val="ListParagraph"/>
        <w:numPr>
          <w:ilvl w:val="0"/>
          <w:numId w:val="14"/>
        </w:numPr>
      </w:pPr>
      <w:r>
        <w:t>Ažurirani popratni dokumenti</w:t>
      </w:r>
    </w:p>
    <w:p w:rsidR="005960CF" w:rsidRDefault="00EB1FB9" w:rsidP="0077044A">
      <w:pPr>
        <w:pStyle w:val="ListParagraph"/>
        <w:numPr>
          <w:ilvl w:val="0"/>
          <w:numId w:val="14"/>
        </w:numPr>
      </w:pPr>
      <w:r>
        <w:t>ESPD obrazac – primjeri iz prakse</w:t>
      </w:r>
    </w:p>
    <w:p w:rsidR="005960CF" w:rsidRDefault="005960CF" w:rsidP="00EB1FB9">
      <w:pPr>
        <w:pStyle w:val="ListParagraph"/>
        <w:ind w:left="950"/>
      </w:pPr>
    </w:p>
    <w:sectPr w:rsidR="005960CF" w:rsidSect="00140929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326AF"/>
    <w:multiLevelType w:val="hybridMultilevel"/>
    <w:tmpl w:val="70B06B7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280339"/>
    <w:multiLevelType w:val="hybridMultilevel"/>
    <w:tmpl w:val="A18E3214"/>
    <w:lvl w:ilvl="0" w:tplc="17C2DDBE">
      <w:start w:val="1"/>
      <w:numFmt w:val="bullet"/>
      <w:lvlText w:val=""/>
      <w:lvlJc w:val="center"/>
      <w:pPr>
        <w:ind w:left="2025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2">
    <w:nsid w:val="3EB43CC8"/>
    <w:multiLevelType w:val="hybridMultilevel"/>
    <w:tmpl w:val="FFE0EBF4"/>
    <w:lvl w:ilvl="0" w:tplc="041A000B">
      <w:start w:val="1"/>
      <w:numFmt w:val="bullet"/>
      <w:lvlText w:val=""/>
      <w:lvlJc w:val="left"/>
      <w:pPr>
        <w:ind w:left="2085" w:hanging="360"/>
      </w:pPr>
      <w:rPr>
        <w:rFonts w:ascii="Wingdings" w:hAnsi="Wingdings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071518"/>
    <w:multiLevelType w:val="hybridMultilevel"/>
    <w:tmpl w:val="CA78D7E4"/>
    <w:lvl w:ilvl="0" w:tplc="041A000B">
      <w:start w:val="1"/>
      <w:numFmt w:val="bullet"/>
      <w:lvlText w:val=""/>
      <w:lvlJc w:val="left"/>
      <w:pPr>
        <w:ind w:left="1546" w:hanging="360"/>
      </w:pPr>
      <w:rPr>
        <w:rFonts w:ascii="Wingdings" w:hAnsi="Wingdings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96738F"/>
    <w:multiLevelType w:val="hybridMultilevel"/>
    <w:tmpl w:val="0C022DDE"/>
    <w:lvl w:ilvl="0" w:tplc="041A000B">
      <w:start w:val="1"/>
      <w:numFmt w:val="bullet"/>
      <w:lvlText w:val=""/>
      <w:lvlJc w:val="left"/>
      <w:pPr>
        <w:ind w:left="2097" w:hanging="360"/>
      </w:pPr>
      <w:rPr>
        <w:rFonts w:ascii="Wingdings" w:hAnsi="Wingdings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F011E9A"/>
    <w:multiLevelType w:val="hybridMultilevel"/>
    <w:tmpl w:val="4BBCF61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F827DE"/>
    <w:multiLevelType w:val="hybridMultilevel"/>
    <w:tmpl w:val="499A2138"/>
    <w:lvl w:ilvl="0" w:tplc="041A000B">
      <w:start w:val="1"/>
      <w:numFmt w:val="bullet"/>
      <w:lvlText w:val=""/>
      <w:lvlJc w:val="left"/>
      <w:pPr>
        <w:ind w:left="2022" w:hanging="360"/>
      </w:pPr>
      <w:rPr>
        <w:rFonts w:ascii="Wingdings" w:hAnsi="Wingdings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53F1FEC"/>
    <w:multiLevelType w:val="hybridMultilevel"/>
    <w:tmpl w:val="8C1C8DE8"/>
    <w:lvl w:ilvl="0" w:tplc="041A0001">
      <w:start w:val="1"/>
      <w:numFmt w:val="bullet"/>
      <w:lvlText w:val=""/>
      <w:lvlJc w:val="left"/>
      <w:pPr>
        <w:ind w:left="393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8">
    <w:nsid w:val="567D2EAD"/>
    <w:multiLevelType w:val="hybridMultilevel"/>
    <w:tmpl w:val="A8066E2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135AC5"/>
    <w:multiLevelType w:val="hybridMultilevel"/>
    <w:tmpl w:val="0EE0EDE6"/>
    <w:lvl w:ilvl="0" w:tplc="17C2DDBE">
      <w:start w:val="1"/>
      <w:numFmt w:val="bullet"/>
      <w:lvlText w:val=""/>
      <w:lvlJc w:val="center"/>
      <w:pPr>
        <w:ind w:left="2025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10">
    <w:nsid w:val="62A40189"/>
    <w:multiLevelType w:val="hybridMultilevel"/>
    <w:tmpl w:val="48705104"/>
    <w:lvl w:ilvl="0" w:tplc="041A000F">
      <w:start w:val="1"/>
      <w:numFmt w:val="decimal"/>
      <w:lvlText w:val="%1."/>
      <w:lvlJc w:val="left"/>
      <w:pPr>
        <w:ind w:left="2742" w:hanging="360"/>
      </w:pPr>
    </w:lvl>
    <w:lvl w:ilvl="1" w:tplc="041A0019" w:tentative="1">
      <w:start w:val="1"/>
      <w:numFmt w:val="lowerLetter"/>
      <w:lvlText w:val="%2."/>
      <w:lvlJc w:val="left"/>
      <w:pPr>
        <w:ind w:left="3462" w:hanging="360"/>
      </w:pPr>
    </w:lvl>
    <w:lvl w:ilvl="2" w:tplc="041A001B" w:tentative="1">
      <w:start w:val="1"/>
      <w:numFmt w:val="lowerRoman"/>
      <w:lvlText w:val="%3."/>
      <w:lvlJc w:val="right"/>
      <w:pPr>
        <w:ind w:left="4182" w:hanging="180"/>
      </w:pPr>
    </w:lvl>
    <w:lvl w:ilvl="3" w:tplc="041A000F" w:tentative="1">
      <w:start w:val="1"/>
      <w:numFmt w:val="decimal"/>
      <w:lvlText w:val="%4."/>
      <w:lvlJc w:val="left"/>
      <w:pPr>
        <w:ind w:left="4902" w:hanging="360"/>
      </w:pPr>
    </w:lvl>
    <w:lvl w:ilvl="4" w:tplc="041A0019" w:tentative="1">
      <w:start w:val="1"/>
      <w:numFmt w:val="lowerLetter"/>
      <w:lvlText w:val="%5."/>
      <w:lvlJc w:val="left"/>
      <w:pPr>
        <w:ind w:left="5622" w:hanging="360"/>
      </w:pPr>
    </w:lvl>
    <w:lvl w:ilvl="5" w:tplc="041A001B" w:tentative="1">
      <w:start w:val="1"/>
      <w:numFmt w:val="lowerRoman"/>
      <w:lvlText w:val="%6."/>
      <w:lvlJc w:val="right"/>
      <w:pPr>
        <w:ind w:left="6342" w:hanging="180"/>
      </w:pPr>
    </w:lvl>
    <w:lvl w:ilvl="6" w:tplc="041A000F" w:tentative="1">
      <w:start w:val="1"/>
      <w:numFmt w:val="decimal"/>
      <w:lvlText w:val="%7."/>
      <w:lvlJc w:val="left"/>
      <w:pPr>
        <w:ind w:left="7062" w:hanging="360"/>
      </w:pPr>
    </w:lvl>
    <w:lvl w:ilvl="7" w:tplc="041A0019" w:tentative="1">
      <w:start w:val="1"/>
      <w:numFmt w:val="lowerLetter"/>
      <w:lvlText w:val="%8."/>
      <w:lvlJc w:val="left"/>
      <w:pPr>
        <w:ind w:left="7782" w:hanging="360"/>
      </w:pPr>
    </w:lvl>
    <w:lvl w:ilvl="8" w:tplc="041A001B" w:tentative="1">
      <w:start w:val="1"/>
      <w:numFmt w:val="lowerRoman"/>
      <w:lvlText w:val="%9."/>
      <w:lvlJc w:val="right"/>
      <w:pPr>
        <w:ind w:left="8502" w:hanging="180"/>
      </w:pPr>
    </w:lvl>
  </w:abstractNum>
  <w:abstractNum w:abstractNumId="11">
    <w:nsid w:val="75D8390E"/>
    <w:multiLevelType w:val="hybridMultilevel"/>
    <w:tmpl w:val="3A8EA75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F93DA5"/>
    <w:multiLevelType w:val="hybridMultilevel"/>
    <w:tmpl w:val="2FA066C2"/>
    <w:lvl w:ilvl="0" w:tplc="17C2DDBE">
      <w:start w:val="1"/>
      <w:numFmt w:val="bullet"/>
      <w:lvlText w:val=""/>
      <w:lvlJc w:val="center"/>
      <w:pPr>
        <w:ind w:left="95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67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3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9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1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0"/>
  </w:num>
  <w:num w:numId="7">
    <w:abstractNumId w:val="8"/>
  </w:num>
  <w:num w:numId="8">
    <w:abstractNumId w:val="5"/>
  </w:num>
  <w:num w:numId="9">
    <w:abstractNumId w:val="7"/>
  </w:num>
  <w:num w:numId="10">
    <w:abstractNumId w:val="2"/>
  </w:num>
  <w:num w:numId="11">
    <w:abstractNumId w:val="1"/>
  </w:num>
  <w:num w:numId="12">
    <w:abstractNumId w:val="10"/>
  </w:num>
  <w:num w:numId="13">
    <w:abstractNumId w:val="9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FELayout/>
  </w:compat>
  <w:rsids>
    <w:rsidRoot w:val="005949E5"/>
    <w:rsid w:val="000C52E9"/>
    <w:rsid w:val="001402D8"/>
    <w:rsid w:val="00140929"/>
    <w:rsid w:val="001679DF"/>
    <w:rsid w:val="00187502"/>
    <w:rsid w:val="001B103B"/>
    <w:rsid w:val="00256D97"/>
    <w:rsid w:val="00356EAB"/>
    <w:rsid w:val="003B19AE"/>
    <w:rsid w:val="005103B9"/>
    <w:rsid w:val="00566B80"/>
    <w:rsid w:val="005949E5"/>
    <w:rsid w:val="005960CF"/>
    <w:rsid w:val="005A7B21"/>
    <w:rsid w:val="005F1106"/>
    <w:rsid w:val="005F144F"/>
    <w:rsid w:val="005F17E9"/>
    <w:rsid w:val="00623B8A"/>
    <w:rsid w:val="0063105A"/>
    <w:rsid w:val="00634A87"/>
    <w:rsid w:val="00641E24"/>
    <w:rsid w:val="0077044A"/>
    <w:rsid w:val="007977AE"/>
    <w:rsid w:val="008425FE"/>
    <w:rsid w:val="008730C2"/>
    <w:rsid w:val="009175B4"/>
    <w:rsid w:val="009B14CF"/>
    <w:rsid w:val="00AE1509"/>
    <w:rsid w:val="00AE38EC"/>
    <w:rsid w:val="00B31825"/>
    <w:rsid w:val="00C37566"/>
    <w:rsid w:val="00C65D9B"/>
    <w:rsid w:val="00DA36A9"/>
    <w:rsid w:val="00DB01F6"/>
    <w:rsid w:val="00E37995"/>
    <w:rsid w:val="00E51141"/>
    <w:rsid w:val="00E52B6F"/>
    <w:rsid w:val="00E628DF"/>
    <w:rsid w:val="00E7519C"/>
    <w:rsid w:val="00EB1FB9"/>
    <w:rsid w:val="00EE1D85"/>
    <w:rsid w:val="00EF3736"/>
    <w:rsid w:val="00F8407D"/>
    <w:rsid w:val="00F861D0"/>
    <w:rsid w:val="00FC6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9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49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4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9E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704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8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zdravko</dc:creator>
  <cp:lastModifiedBy>zdravko</cp:lastModifiedBy>
  <cp:revision>2</cp:revision>
  <cp:lastPrinted>2017-09-12T12:17:00Z</cp:lastPrinted>
  <dcterms:created xsi:type="dcterms:W3CDTF">2018-01-05T06:40:00Z</dcterms:created>
  <dcterms:modified xsi:type="dcterms:W3CDTF">2018-01-05T06:40:00Z</dcterms:modified>
</cp:coreProperties>
</file>